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FE37D" w14:textId="77777777" w:rsidR="003E4F92" w:rsidRPr="003E4F92" w:rsidRDefault="003E4F92" w:rsidP="004C73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2C996220" w14:textId="4CED3BE3" w:rsidR="004C73B7" w:rsidRPr="003E4F92" w:rsidRDefault="005E02CE" w:rsidP="004C73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E4F92">
        <w:rPr>
          <w:rFonts w:ascii="Arial" w:hAnsi="Arial" w:cs="Arial"/>
          <w:b/>
          <w:bCs/>
        </w:rPr>
        <w:t>ONLINE</w:t>
      </w:r>
      <w:r w:rsidR="00F66591" w:rsidRPr="003E4F92">
        <w:rPr>
          <w:rFonts w:ascii="Arial" w:hAnsi="Arial" w:cs="Arial"/>
          <w:b/>
          <w:bCs/>
        </w:rPr>
        <w:t xml:space="preserve"> ACCESS FOR PROXY</w:t>
      </w:r>
    </w:p>
    <w:p w14:paraId="135630EE" w14:textId="2173F575" w:rsidR="004C73B7" w:rsidRPr="003E4F92" w:rsidRDefault="00F66591" w:rsidP="004C73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E4F92">
        <w:rPr>
          <w:rFonts w:ascii="Arial" w:hAnsi="Arial" w:cs="Arial"/>
          <w:b/>
          <w:bCs/>
        </w:rPr>
        <w:t xml:space="preserve">INFORMATION LEAFLET </w:t>
      </w:r>
    </w:p>
    <w:p w14:paraId="6C9FE2FD" w14:textId="77777777" w:rsidR="004C73B7" w:rsidRPr="004C73B7" w:rsidRDefault="004C73B7" w:rsidP="004C73B7">
      <w:pPr>
        <w:autoSpaceDE w:val="0"/>
        <w:autoSpaceDN w:val="0"/>
        <w:adjustRightInd w:val="0"/>
        <w:rPr>
          <w:rFonts w:cs="Arial-ItalicMT"/>
          <w:i/>
          <w:iCs/>
        </w:rPr>
      </w:pPr>
    </w:p>
    <w:p w14:paraId="4CD3FD85" w14:textId="77777777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E4F92">
        <w:rPr>
          <w:rFonts w:ascii="Arial" w:hAnsi="Arial" w:cs="Arial"/>
          <w:b/>
          <w:bCs/>
        </w:rPr>
        <w:t>Proxy Access</w:t>
      </w:r>
    </w:p>
    <w:p w14:paraId="6880EF82" w14:textId="77777777" w:rsidR="003E4F92" w:rsidRPr="003E4F92" w:rsidRDefault="003E4F92" w:rsidP="004C73B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BB1A9A9" w14:textId="77777777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 xml:space="preserve">This is where someone is given access </w:t>
      </w:r>
      <w:r w:rsidR="00620495" w:rsidRPr="003E4F92">
        <w:rPr>
          <w:rFonts w:ascii="Arial" w:hAnsi="Arial" w:cs="Arial"/>
          <w:sz w:val="22"/>
          <w:szCs w:val="22"/>
        </w:rPr>
        <w:t xml:space="preserve">to </w:t>
      </w:r>
      <w:r w:rsidRPr="003E4F92">
        <w:rPr>
          <w:rFonts w:ascii="Arial" w:hAnsi="Arial" w:cs="Arial"/>
          <w:sz w:val="22"/>
          <w:szCs w:val="22"/>
        </w:rPr>
        <w:t>another person’s medical record. For example:</w:t>
      </w:r>
    </w:p>
    <w:p w14:paraId="69C6AA22" w14:textId="77777777" w:rsidR="004C73B7" w:rsidRPr="003E4F92" w:rsidRDefault="004C73B7" w:rsidP="004C73B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A parent or guardian who has legal responsibility for a patient under 11</w:t>
      </w:r>
    </w:p>
    <w:p w14:paraId="0579D038" w14:textId="77777777" w:rsidR="004C73B7" w:rsidRPr="003E4F92" w:rsidRDefault="004C73B7" w:rsidP="004C73B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A parent or guardian where a patient aged 11 or over has given permission</w:t>
      </w:r>
    </w:p>
    <w:p w14:paraId="2D359D1B" w14:textId="77777777" w:rsidR="004C73B7" w:rsidRPr="003E4F92" w:rsidRDefault="004C73B7" w:rsidP="004C73B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A parent or guardian who has legal responsibility for a patient between 11 and 16</w:t>
      </w:r>
    </w:p>
    <w:p w14:paraId="7CD8E773" w14:textId="2BCB2771" w:rsidR="004C73B7" w:rsidRPr="003E4F92" w:rsidRDefault="003D1FF1" w:rsidP="003D1FF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4C73B7" w:rsidRPr="003E4F92">
        <w:rPr>
          <w:rFonts w:ascii="Arial" w:hAnsi="Arial" w:cs="Arial"/>
          <w:sz w:val="22"/>
          <w:szCs w:val="22"/>
        </w:rPr>
        <w:t xml:space="preserve">where GP has assessed that the patient </w:t>
      </w:r>
      <w:proofErr w:type="gramStart"/>
      <w:r w:rsidR="004C73B7" w:rsidRPr="003E4F92">
        <w:rPr>
          <w:rFonts w:ascii="Arial" w:hAnsi="Arial" w:cs="Arial"/>
          <w:sz w:val="22"/>
          <w:szCs w:val="22"/>
        </w:rPr>
        <w:t>is not capable of making</w:t>
      </w:r>
      <w:proofErr w:type="gramEnd"/>
      <w:r w:rsidR="004C73B7" w:rsidRPr="003E4F92">
        <w:rPr>
          <w:rFonts w:ascii="Arial" w:hAnsi="Arial" w:cs="Arial"/>
          <w:sz w:val="22"/>
          <w:szCs w:val="22"/>
        </w:rPr>
        <w:t xml:space="preserve"> their own </w:t>
      </w:r>
      <w:r>
        <w:rPr>
          <w:rFonts w:ascii="Arial" w:hAnsi="Arial" w:cs="Arial"/>
          <w:sz w:val="22"/>
          <w:szCs w:val="22"/>
        </w:rPr>
        <w:t>d</w:t>
      </w:r>
      <w:r w:rsidR="004C73B7" w:rsidRPr="003E4F92">
        <w:rPr>
          <w:rFonts w:ascii="Arial" w:hAnsi="Arial" w:cs="Arial"/>
          <w:sz w:val="22"/>
          <w:szCs w:val="22"/>
        </w:rPr>
        <w:t>ecisions</w:t>
      </w:r>
    </w:p>
    <w:p w14:paraId="28343465" w14:textId="56EC0AED" w:rsidR="004C73B7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 xml:space="preserve">            re medical heal</w:t>
      </w:r>
      <w:r w:rsidR="003D1FF1">
        <w:rPr>
          <w:rFonts w:ascii="Arial" w:hAnsi="Arial" w:cs="Arial"/>
          <w:sz w:val="22"/>
          <w:szCs w:val="22"/>
        </w:rPr>
        <w:t>th</w:t>
      </w:r>
    </w:p>
    <w:p w14:paraId="75EDB5BD" w14:textId="70BE71D3" w:rsidR="004C73B7" w:rsidRDefault="004C73B7" w:rsidP="0011757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5799A">
        <w:rPr>
          <w:rFonts w:ascii="Arial" w:hAnsi="Arial" w:cs="Arial"/>
          <w:sz w:val="22"/>
          <w:szCs w:val="22"/>
        </w:rPr>
        <w:t xml:space="preserve">A carer for a patient over the age of 16 </w:t>
      </w:r>
    </w:p>
    <w:p w14:paraId="04808847" w14:textId="77777777" w:rsidR="00E5799A" w:rsidRPr="00E5799A" w:rsidRDefault="00E5799A" w:rsidP="00E5799A">
      <w:pPr>
        <w:pStyle w:val="ListParagraph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88C2A7" w14:textId="7DC5BAAE" w:rsidR="00C67408" w:rsidRDefault="00C67408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67408">
        <w:rPr>
          <w:rFonts w:ascii="Arial" w:hAnsi="Arial" w:cs="Arial"/>
          <w:sz w:val="22"/>
          <w:szCs w:val="22"/>
        </w:rPr>
        <w:t>The proxy does not have to be a registered patient at the practice but must be registered for online services on the GP system and always use their own login credentials.</w:t>
      </w:r>
    </w:p>
    <w:p w14:paraId="1A89EF45" w14:textId="77777777" w:rsidR="00C67408" w:rsidRPr="003E4F92" w:rsidRDefault="00C67408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B620780" w14:textId="36D0A7E5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 xml:space="preserve">To be given proxy access, a patient’s </w:t>
      </w:r>
      <w:r w:rsidR="00C67408" w:rsidRPr="003E4F92">
        <w:rPr>
          <w:rFonts w:ascii="Arial" w:hAnsi="Arial" w:cs="Arial"/>
          <w:sz w:val="22"/>
          <w:szCs w:val="22"/>
        </w:rPr>
        <w:t>representative</w:t>
      </w:r>
      <w:r w:rsidRPr="003E4F92">
        <w:rPr>
          <w:rFonts w:ascii="Arial" w:hAnsi="Arial" w:cs="Arial"/>
          <w:sz w:val="22"/>
          <w:szCs w:val="22"/>
        </w:rPr>
        <w:t xml:space="preserve"> must have the informed consent of the patient or, in cases where the patient does not have capacity to </w:t>
      </w:r>
      <w:r w:rsidR="0086494B" w:rsidRPr="003E4F92">
        <w:rPr>
          <w:rFonts w:ascii="Arial" w:hAnsi="Arial" w:cs="Arial"/>
          <w:sz w:val="22"/>
          <w:szCs w:val="22"/>
        </w:rPr>
        <w:t>consent;</w:t>
      </w:r>
      <w:r w:rsidRPr="003E4F92">
        <w:rPr>
          <w:rFonts w:ascii="Arial" w:hAnsi="Arial" w:cs="Arial"/>
          <w:sz w:val="22"/>
          <w:szCs w:val="22"/>
        </w:rPr>
        <w:t xml:space="preserve"> the GP has decided that it is in the best interests of the patient for them to have proxy access.</w:t>
      </w:r>
    </w:p>
    <w:p w14:paraId="3AC68C4C" w14:textId="77777777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010E6E" w14:textId="2D603A43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Patients aged 16 or above are assumed to have the capacity to consent unless there is an</w:t>
      </w:r>
      <w:r w:rsidR="007A5A43" w:rsidRPr="003E4F92">
        <w:rPr>
          <w:rFonts w:ascii="Arial" w:hAnsi="Arial" w:cs="Arial"/>
          <w:sz w:val="22"/>
          <w:szCs w:val="22"/>
        </w:rPr>
        <w:t xml:space="preserve"> indication that they are not.  </w:t>
      </w:r>
      <w:r w:rsidRPr="003E4F92">
        <w:rPr>
          <w:rFonts w:ascii="Arial" w:hAnsi="Arial" w:cs="Arial"/>
          <w:sz w:val="22"/>
          <w:szCs w:val="22"/>
        </w:rPr>
        <w:t>Young patients between the ages of 1</w:t>
      </w:r>
      <w:r w:rsidR="00C212D8">
        <w:rPr>
          <w:rFonts w:ascii="Arial" w:hAnsi="Arial" w:cs="Arial"/>
          <w:sz w:val="22"/>
          <w:szCs w:val="22"/>
        </w:rPr>
        <w:t>3</w:t>
      </w:r>
      <w:r w:rsidRPr="003E4F92">
        <w:rPr>
          <w:rFonts w:ascii="Arial" w:hAnsi="Arial" w:cs="Arial"/>
          <w:sz w:val="22"/>
          <w:szCs w:val="22"/>
        </w:rPr>
        <w:t xml:space="preserve"> and 16 who are judged</w:t>
      </w:r>
      <w:r w:rsidR="007A5A43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as having capacity to consent by their GP may also consent to give proxy access to someone else.</w:t>
      </w:r>
    </w:p>
    <w:p w14:paraId="39939576" w14:textId="77777777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DD9A150" w14:textId="77777777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Legitimate reasons for the practice to authorise proxy access without the patient's consent</w:t>
      </w:r>
      <w:r w:rsidR="007A5A43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include:</w:t>
      </w:r>
    </w:p>
    <w:p w14:paraId="510E64E9" w14:textId="77777777" w:rsidR="004C73B7" w:rsidRPr="003E4F92" w:rsidRDefault="004C73B7" w:rsidP="004C73B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 xml:space="preserve">The patient has been assessed as lacking capacity to </w:t>
      </w:r>
      <w:proofErr w:type="gramStart"/>
      <w:r w:rsidRPr="003E4F92">
        <w:rPr>
          <w:rFonts w:ascii="Arial" w:hAnsi="Arial" w:cs="Arial"/>
          <w:sz w:val="22"/>
          <w:szCs w:val="22"/>
        </w:rPr>
        <w:t>make a decision</w:t>
      </w:r>
      <w:proofErr w:type="gramEnd"/>
      <w:r w:rsidRPr="003E4F92">
        <w:rPr>
          <w:rFonts w:ascii="Arial" w:hAnsi="Arial" w:cs="Arial"/>
          <w:sz w:val="22"/>
          <w:szCs w:val="22"/>
        </w:rPr>
        <w:t xml:space="preserve"> on granting proxy access and</w:t>
      </w:r>
      <w:r w:rsidR="007A5A43" w:rsidRPr="003E4F92">
        <w:rPr>
          <w:rFonts w:ascii="Arial" w:hAnsi="Arial" w:cs="Arial"/>
          <w:sz w:val="22"/>
          <w:szCs w:val="22"/>
        </w:rPr>
        <w:t>,</w:t>
      </w:r>
    </w:p>
    <w:p w14:paraId="3042193C" w14:textId="77777777" w:rsidR="004C73B7" w:rsidRPr="003E4F92" w:rsidRDefault="004C73B7" w:rsidP="004C73B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the applicant has a lasting power of attorney for health and welfare registered with</w:t>
      </w:r>
      <w:r w:rsidR="0025284C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 xml:space="preserve">              the Office of the Public Guardian,</w:t>
      </w:r>
    </w:p>
    <w:p w14:paraId="72CEDD6C" w14:textId="77777777" w:rsidR="004C73B7" w:rsidRPr="003E4F92" w:rsidRDefault="004C73B7" w:rsidP="004C73B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the applicant is acting as a Court Appointed Deputy on behalf of the patient, or</w:t>
      </w:r>
      <w:r w:rsidR="0086494B" w:rsidRPr="003E4F92">
        <w:rPr>
          <w:rFonts w:ascii="Arial" w:hAnsi="Arial" w:cs="Arial"/>
          <w:sz w:val="22"/>
          <w:szCs w:val="22"/>
        </w:rPr>
        <w:t xml:space="preserve"> </w:t>
      </w:r>
    </w:p>
    <w:p w14:paraId="05117525" w14:textId="77777777" w:rsidR="004C73B7" w:rsidRPr="003E4F92" w:rsidRDefault="004C73B7" w:rsidP="004C73B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the GP considers it to be in the patient’s interest in accordance with the Mental</w:t>
      </w:r>
      <w:r w:rsidR="0025284C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 xml:space="preserve">              Capacity Act 2005 code of practice.</w:t>
      </w:r>
    </w:p>
    <w:p w14:paraId="09C7B821" w14:textId="77777777" w:rsidR="004C73B7" w:rsidRPr="003E4F92" w:rsidRDefault="004C73B7" w:rsidP="004C73B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 xml:space="preserve">The patient is a child who has been assessed as not competent to </w:t>
      </w:r>
      <w:proofErr w:type="gramStart"/>
      <w:r w:rsidRPr="003E4F92">
        <w:rPr>
          <w:rFonts w:ascii="Arial" w:hAnsi="Arial" w:cs="Arial"/>
          <w:sz w:val="22"/>
          <w:szCs w:val="22"/>
        </w:rPr>
        <w:t>make a decision</w:t>
      </w:r>
      <w:proofErr w:type="gramEnd"/>
      <w:r w:rsidRPr="003E4F92">
        <w:rPr>
          <w:rFonts w:ascii="Arial" w:hAnsi="Arial" w:cs="Arial"/>
          <w:sz w:val="22"/>
          <w:szCs w:val="22"/>
        </w:rPr>
        <w:t xml:space="preserve"> on granting proxy access</w:t>
      </w:r>
      <w:r w:rsidR="007A5A43" w:rsidRPr="003E4F92">
        <w:rPr>
          <w:rFonts w:ascii="Arial" w:hAnsi="Arial" w:cs="Arial"/>
          <w:sz w:val="22"/>
          <w:szCs w:val="22"/>
        </w:rPr>
        <w:t>.</w:t>
      </w:r>
    </w:p>
    <w:p w14:paraId="4DEF797E" w14:textId="77777777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714B6C1" w14:textId="77777777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The practice may refuse or withdraw proxy access, if they judge that it is in the patient’s best interests to do so.</w:t>
      </w:r>
    </w:p>
    <w:p w14:paraId="70B3FE1A" w14:textId="77777777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4AFDC97" w14:textId="6877AE0F" w:rsid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On a child’s 11th birthday, the scope of the current proxy access will be restricted, unless</w:t>
      </w:r>
      <w:r w:rsidR="00773B04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the GP has already assessed the child as able to make an informed decision and the child</w:t>
      </w:r>
      <w:r w:rsidR="00773B04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 xml:space="preserve">has given explicit consent for their record to be shared.  This is a national standard imposed by NHS England to protect the confidentiality rights of young people. </w:t>
      </w:r>
    </w:p>
    <w:p w14:paraId="645AF1A7" w14:textId="77777777" w:rsidR="00BF2822" w:rsidRDefault="00BF2822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F68075E" w14:textId="44EA8A71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From 1</w:t>
      </w:r>
      <w:r w:rsidR="00C212D8">
        <w:rPr>
          <w:rFonts w:ascii="Arial" w:hAnsi="Arial" w:cs="Arial"/>
          <w:sz w:val="22"/>
          <w:szCs w:val="22"/>
        </w:rPr>
        <w:t>3</w:t>
      </w:r>
      <w:r w:rsidRPr="003E4F92">
        <w:rPr>
          <w:rFonts w:ascii="Arial" w:hAnsi="Arial" w:cs="Arial"/>
          <w:sz w:val="22"/>
          <w:szCs w:val="22"/>
        </w:rPr>
        <w:t>-16, a parent with proxy access will be able to make appointments</w:t>
      </w:r>
      <w:r w:rsidR="00912886" w:rsidRPr="003E4F92">
        <w:rPr>
          <w:rFonts w:ascii="Arial" w:hAnsi="Arial" w:cs="Arial"/>
          <w:sz w:val="22"/>
          <w:szCs w:val="22"/>
        </w:rPr>
        <w:t xml:space="preserve">, </w:t>
      </w:r>
      <w:r w:rsidRPr="003E4F92">
        <w:rPr>
          <w:rFonts w:ascii="Arial" w:hAnsi="Arial" w:cs="Arial"/>
          <w:sz w:val="22"/>
          <w:szCs w:val="22"/>
        </w:rPr>
        <w:t>order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repeat prescriptions</w:t>
      </w:r>
      <w:r w:rsidR="00912886" w:rsidRPr="003E4F92">
        <w:rPr>
          <w:rFonts w:ascii="Arial" w:hAnsi="Arial" w:cs="Arial"/>
          <w:sz w:val="22"/>
          <w:szCs w:val="22"/>
        </w:rPr>
        <w:t xml:space="preserve"> and see the full </w:t>
      </w:r>
      <w:r w:rsidRPr="003E4F92">
        <w:rPr>
          <w:rFonts w:ascii="Arial" w:hAnsi="Arial" w:cs="Arial"/>
          <w:sz w:val="22"/>
          <w:szCs w:val="22"/>
        </w:rPr>
        <w:t>clinical record</w:t>
      </w:r>
      <w:r w:rsidR="00912886" w:rsidRPr="003E4F92">
        <w:rPr>
          <w:rFonts w:ascii="Arial" w:hAnsi="Arial" w:cs="Arial"/>
          <w:sz w:val="22"/>
          <w:szCs w:val="22"/>
        </w:rPr>
        <w:t>.</w:t>
      </w:r>
    </w:p>
    <w:p w14:paraId="14489E79" w14:textId="77777777" w:rsidR="00E441BF" w:rsidRPr="003E4F92" w:rsidRDefault="00E441BF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7B763F" w14:textId="27CCB670" w:rsidR="00E441BF" w:rsidRPr="003E4F92" w:rsidRDefault="00E441BF" w:rsidP="004C73B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3E4F92">
        <w:rPr>
          <w:rFonts w:ascii="Arial" w:hAnsi="Arial" w:cs="Arial"/>
          <w:b/>
          <w:bCs/>
          <w:sz w:val="22"/>
          <w:szCs w:val="22"/>
        </w:rPr>
        <w:t>IF YOU WISH PROXY ACCESS,</w:t>
      </w:r>
      <w:r w:rsidR="00E5799A">
        <w:rPr>
          <w:rFonts w:ascii="Arial" w:hAnsi="Arial" w:cs="Arial"/>
          <w:b/>
          <w:bCs/>
          <w:sz w:val="22"/>
          <w:szCs w:val="22"/>
        </w:rPr>
        <w:t xml:space="preserve"> BOTH PARTIES </w:t>
      </w:r>
      <w:r w:rsidRPr="003E4F92">
        <w:rPr>
          <w:rFonts w:ascii="Arial" w:hAnsi="Arial" w:cs="Arial"/>
          <w:b/>
          <w:bCs/>
          <w:sz w:val="22"/>
          <w:szCs w:val="22"/>
        </w:rPr>
        <w:t xml:space="preserve">WILL NEED TO COMPLETE THE ATTACHED CONSENT FORM </w:t>
      </w:r>
    </w:p>
    <w:p w14:paraId="64EF8600" w14:textId="77777777" w:rsidR="001F4347" w:rsidRPr="003E4F92" w:rsidRDefault="001F434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3F49A92" w14:textId="04927F68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lastRenderedPageBreak/>
        <w:t>At the child’s 16th birthday the proxy access will be switched off, except where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the young person is competent and has given explicit consent to the parental access.</w:t>
      </w:r>
    </w:p>
    <w:p w14:paraId="01E827D2" w14:textId="41AFC576" w:rsidR="00E5799A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 xml:space="preserve">Again, </w:t>
      </w:r>
      <w:r w:rsidR="00E5799A">
        <w:rPr>
          <w:rFonts w:ascii="Arial" w:hAnsi="Arial" w:cs="Arial"/>
          <w:sz w:val="22"/>
          <w:szCs w:val="22"/>
        </w:rPr>
        <w:t>we will require both parties to complete the consent form to continue proxy access.</w:t>
      </w:r>
    </w:p>
    <w:p w14:paraId="06222973" w14:textId="77777777" w:rsidR="00E5799A" w:rsidRDefault="00E5799A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CF2D7E" w14:textId="77777777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Parents may continue to be allowed proxy access to their child’s online services, after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careful discussion with the GP, if it is felt to be in the child’s best interests.</w:t>
      </w:r>
    </w:p>
    <w:p w14:paraId="1511087A" w14:textId="77777777" w:rsidR="001F4347" w:rsidRPr="003E4F92" w:rsidRDefault="001F434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97EF1A8" w14:textId="77777777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3E4F92">
        <w:rPr>
          <w:rFonts w:ascii="Arial" w:hAnsi="Arial" w:cs="Arial"/>
          <w:b/>
          <w:bCs/>
          <w:sz w:val="22"/>
          <w:szCs w:val="22"/>
        </w:rPr>
        <w:t xml:space="preserve">Background </w:t>
      </w:r>
      <w:r w:rsidR="00F66591" w:rsidRPr="003E4F92">
        <w:rPr>
          <w:rFonts w:ascii="Arial" w:hAnsi="Arial" w:cs="Arial"/>
          <w:b/>
          <w:bCs/>
          <w:sz w:val="22"/>
          <w:szCs w:val="22"/>
        </w:rPr>
        <w:t>Information</w:t>
      </w:r>
    </w:p>
    <w:p w14:paraId="2609A2DC" w14:textId="77777777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In UK law, a person's 18th birthday draws the line between childhood and adulthood</w:t>
      </w:r>
    </w:p>
    <w:p w14:paraId="5AB989D1" w14:textId="6FA3F119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 xml:space="preserve">(Children Act 1989 s105) - so in health care matters, an </w:t>
      </w:r>
      <w:r w:rsidR="00E441BF" w:rsidRPr="003E4F92">
        <w:rPr>
          <w:rFonts w:ascii="Arial" w:hAnsi="Arial" w:cs="Arial"/>
          <w:sz w:val="22"/>
          <w:szCs w:val="22"/>
        </w:rPr>
        <w:t>18-year-old</w:t>
      </w:r>
      <w:r w:rsidRPr="003E4F92">
        <w:rPr>
          <w:rFonts w:ascii="Arial" w:hAnsi="Arial" w:cs="Arial"/>
          <w:sz w:val="22"/>
          <w:szCs w:val="22"/>
        </w:rPr>
        <w:t xml:space="preserve"> enjoys as much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autonomy as any other adult.</w:t>
      </w:r>
    </w:p>
    <w:p w14:paraId="1AE90419" w14:textId="77777777" w:rsidR="001F4347" w:rsidRPr="003E4F92" w:rsidRDefault="001F434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4EFF81" w14:textId="0DE441CB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 xml:space="preserve">To a more limited extent, </w:t>
      </w:r>
      <w:r w:rsidR="00E441BF" w:rsidRPr="003E4F92">
        <w:rPr>
          <w:rFonts w:ascii="Arial" w:hAnsi="Arial" w:cs="Arial"/>
          <w:sz w:val="22"/>
          <w:szCs w:val="22"/>
        </w:rPr>
        <w:t>16- and 17-year-olds</w:t>
      </w:r>
      <w:r w:rsidRPr="003E4F92">
        <w:rPr>
          <w:rFonts w:ascii="Arial" w:hAnsi="Arial" w:cs="Arial"/>
          <w:sz w:val="22"/>
          <w:szCs w:val="22"/>
        </w:rPr>
        <w:t xml:space="preserve"> can also take medical decisions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independently of their parents. The right of younger children to provide independent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consent is proportionate to their competence - a child's age alone is clearly an unreliable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predictor of his or her competence to make decisions.</w:t>
      </w:r>
    </w:p>
    <w:p w14:paraId="09AD028F" w14:textId="77777777" w:rsidR="001F4347" w:rsidRPr="003E4F92" w:rsidRDefault="001F434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D47E3D1" w14:textId="77777777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3E4F92">
        <w:rPr>
          <w:rFonts w:ascii="Arial" w:hAnsi="Arial" w:cs="Arial"/>
          <w:b/>
          <w:bCs/>
          <w:sz w:val="22"/>
          <w:szCs w:val="22"/>
        </w:rPr>
        <w:t xml:space="preserve">Gillick </w:t>
      </w:r>
      <w:r w:rsidR="00F66591" w:rsidRPr="003E4F92">
        <w:rPr>
          <w:rFonts w:ascii="Arial" w:hAnsi="Arial" w:cs="Arial"/>
          <w:b/>
          <w:bCs/>
          <w:sz w:val="22"/>
          <w:szCs w:val="22"/>
        </w:rPr>
        <w:t>Competence</w:t>
      </w:r>
    </w:p>
    <w:p w14:paraId="59FBA7C9" w14:textId="77777777" w:rsidR="001F434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The 'Gillick Test' helps clinicians to identify children aged under 16 who have the legal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capacity to consent to medical examination and treatment. They must be able to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demonstrate sufficient maturity and intelligence to understand the nature and implications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of the proposed treatment, including the risks and alternative courses of actions.</w:t>
      </w:r>
    </w:p>
    <w:p w14:paraId="2660A236" w14:textId="77777777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In 1983, a judgment in the High Court laid down criteria for establishing whether a child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had the capacity to provide valid consent to treatment in specified circumstances,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irrespective of their age. Two years later, these criteria were approved in the House of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Lords and became widely acknowledged as the Gillick test. The Gillick Test was named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after a mother who had challenged health service guidance that would have allowed her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daughters aged under 16 to receive confidential contraceptive advice without her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knowledge.</w:t>
      </w:r>
    </w:p>
    <w:p w14:paraId="643BC370" w14:textId="77777777" w:rsidR="001F4347" w:rsidRPr="003E4F92" w:rsidRDefault="001F434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3C58703" w14:textId="77777777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3E4F92">
        <w:rPr>
          <w:rFonts w:ascii="Arial" w:hAnsi="Arial" w:cs="Arial"/>
          <w:b/>
          <w:bCs/>
          <w:sz w:val="22"/>
          <w:szCs w:val="22"/>
        </w:rPr>
        <w:t xml:space="preserve">Fraser </w:t>
      </w:r>
      <w:r w:rsidR="00F66591" w:rsidRPr="003E4F92">
        <w:rPr>
          <w:rFonts w:ascii="Arial" w:hAnsi="Arial" w:cs="Arial"/>
          <w:b/>
          <w:bCs/>
          <w:sz w:val="22"/>
          <w:szCs w:val="22"/>
        </w:rPr>
        <w:t>Guidelines</w:t>
      </w:r>
    </w:p>
    <w:p w14:paraId="2BD96A70" w14:textId="77777777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As one of the Law Lords responsible for the Gillick judgment, Lord Fraser specifically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addressed the dilemma of providing contraceptive advice to girls without the knowledge of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their parents. He was particularly concerned with the welfare of girls who would not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abstain from intercourse whether they were given contraception or not. The summary of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his judgment referring to the provision of contraceptive advice was presented as the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'Fraser guidelines'. Fraser guidelines are narrower than Gillick competencies and relate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 xml:space="preserve">specifically </w:t>
      </w:r>
      <w:r w:rsidR="006E5BDE" w:rsidRPr="003E4F92">
        <w:rPr>
          <w:rFonts w:ascii="Arial" w:hAnsi="Arial" w:cs="Arial"/>
          <w:sz w:val="22"/>
          <w:szCs w:val="22"/>
        </w:rPr>
        <w:t xml:space="preserve">to </w:t>
      </w:r>
      <w:r w:rsidRPr="003E4F92">
        <w:rPr>
          <w:rFonts w:ascii="Arial" w:hAnsi="Arial" w:cs="Arial"/>
          <w:sz w:val="22"/>
          <w:szCs w:val="22"/>
        </w:rPr>
        <w:t>contraception.</w:t>
      </w:r>
    </w:p>
    <w:sectPr w:rsidR="004C73B7" w:rsidRPr="003E4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68CF"/>
    <w:multiLevelType w:val="hybridMultilevel"/>
    <w:tmpl w:val="97C84F6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BB6F00"/>
    <w:multiLevelType w:val="hybridMultilevel"/>
    <w:tmpl w:val="3E9AFBC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97C0E69"/>
    <w:multiLevelType w:val="hybridMultilevel"/>
    <w:tmpl w:val="2F1A6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90B9D"/>
    <w:multiLevelType w:val="hybridMultilevel"/>
    <w:tmpl w:val="36769A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344450A"/>
    <w:multiLevelType w:val="hybridMultilevel"/>
    <w:tmpl w:val="6876D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979411">
    <w:abstractNumId w:val="4"/>
  </w:num>
  <w:num w:numId="2" w16cid:durableId="1747995101">
    <w:abstractNumId w:val="3"/>
  </w:num>
  <w:num w:numId="3" w16cid:durableId="196312145">
    <w:abstractNumId w:val="0"/>
  </w:num>
  <w:num w:numId="4" w16cid:durableId="1924029114">
    <w:abstractNumId w:val="1"/>
  </w:num>
  <w:num w:numId="5" w16cid:durableId="1545171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B7"/>
    <w:rsid w:val="001F4347"/>
    <w:rsid w:val="0025284C"/>
    <w:rsid w:val="002C7923"/>
    <w:rsid w:val="003444B6"/>
    <w:rsid w:val="003B7AB2"/>
    <w:rsid w:val="003D1FF1"/>
    <w:rsid w:val="003E4F92"/>
    <w:rsid w:val="004C73B7"/>
    <w:rsid w:val="00500AAC"/>
    <w:rsid w:val="0054270B"/>
    <w:rsid w:val="00570296"/>
    <w:rsid w:val="005E02CE"/>
    <w:rsid w:val="005F4A6B"/>
    <w:rsid w:val="00620495"/>
    <w:rsid w:val="00626D67"/>
    <w:rsid w:val="006C06F2"/>
    <w:rsid w:val="006D571E"/>
    <w:rsid w:val="006E26A6"/>
    <w:rsid w:val="006E5BDE"/>
    <w:rsid w:val="006F7DEA"/>
    <w:rsid w:val="0072547F"/>
    <w:rsid w:val="00773B04"/>
    <w:rsid w:val="007A5A43"/>
    <w:rsid w:val="0086494B"/>
    <w:rsid w:val="008A555A"/>
    <w:rsid w:val="00907108"/>
    <w:rsid w:val="00912886"/>
    <w:rsid w:val="009F46F7"/>
    <w:rsid w:val="00A263C3"/>
    <w:rsid w:val="00A54F63"/>
    <w:rsid w:val="00AA3D49"/>
    <w:rsid w:val="00AB5883"/>
    <w:rsid w:val="00B26AC7"/>
    <w:rsid w:val="00B8139F"/>
    <w:rsid w:val="00BF2822"/>
    <w:rsid w:val="00C212D8"/>
    <w:rsid w:val="00C67408"/>
    <w:rsid w:val="00C71CC7"/>
    <w:rsid w:val="00CC0B20"/>
    <w:rsid w:val="00CC7534"/>
    <w:rsid w:val="00D511D9"/>
    <w:rsid w:val="00E441BF"/>
    <w:rsid w:val="00E5799A"/>
    <w:rsid w:val="00E913D9"/>
    <w:rsid w:val="00F17847"/>
    <w:rsid w:val="00F66591"/>
    <w:rsid w:val="00FE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FDD4F"/>
  <w15:docId w15:val="{7B259163-F8C7-1247-96BD-4FA16B1E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3C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3C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3C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3C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3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3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3C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3C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3C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3C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3C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3C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3C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3C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3C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3C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3C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3C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3C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263C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263C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3C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263C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263C3"/>
    <w:rPr>
      <w:b/>
      <w:bCs/>
    </w:rPr>
  </w:style>
  <w:style w:type="character" w:styleId="Emphasis">
    <w:name w:val="Emphasis"/>
    <w:basedOn w:val="DefaultParagraphFont"/>
    <w:uiPriority w:val="20"/>
    <w:qFormat/>
    <w:rsid w:val="00A263C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263C3"/>
    <w:rPr>
      <w:szCs w:val="32"/>
    </w:rPr>
  </w:style>
  <w:style w:type="paragraph" w:styleId="ListParagraph">
    <w:name w:val="List Paragraph"/>
    <w:basedOn w:val="Normal"/>
    <w:uiPriority w:val="34"/>
    <w:qFormat/>
    <w:rsid w:val="00A263C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63C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263C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3C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3C3"/>
    <w:rPr>
      <w:b/>
      <w:i/>
      <w:sz w:val="24"/>
    </w:rPr>
  </w:style>
  <w:style w:type="character" w:styleId="SubtleEmphasis">
    <w:name w:val="Subtle Emphasis"/>
    <w:uiPriority w:val="19"/>
    <w:qFormat/>
    <w:rsid w:val="00A263C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263C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263C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263C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263C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63C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6D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06D259D6EA7541BF048B1073776983" ma:contentTypeVersion="7" ma:contentTypeDescription="Create a new document." ma:contentTypeScope="" ma:versionID="25db6a48b69259a05a470a85b65081e4">
  <xsd:schema xmlns:xsd="http://www.w3.org/2001/XMLSchema" xmlns:xs="http://www.w3.org/2001/XMLSchema" xmlns:p="http://schemas.microsoft.com/office/2006/metadata/properties" xmlns:ns1="http://schemas.microsoft.com/sharepoint/v3" xmlns:ns3="963e376b-8034-4769-8a24-14f80493ccea" targetNamespace="http://schemas.microsoft.com/office/2006/metadata/properties" ma:root="true" ma:fieldsID="9b35adb71d6b697e3ad3118fe6abf760" ns1:_="" ns3:_="">
    <xsd:import namespace="http://schemas.microsoft.com/sharepoint/v3"/>
    <xsd:import namespace="963e376b-8034-4769-8a24-14f80493cc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e376b-8034-4769-8a24-14f80493c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963e376b-8034-4769-8a24-14f80493ccea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FE4B12-539B-4EFF-A6D0-A7B6A4314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3e376b-8034-4769-8a24-14f80493c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829FA3-5278-47BA-8870-06D36833F6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3e376b-8034-4769-8a24-14f80493ccea"/>
  </ds:schemaRefs>
</ds:datastoreItem>
</file>

<file path=customXml/itemProps3.xml><?xml version="1.0" encoding="utf-8"?>
<ds:datastoreItem xmlns:ds="http://schemas.openxmlformats.org/officeDocument/2006/customXml" ds:itemID="{207018F5-8DB1-4E50-AECD-B801F9CC89B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Edwards Lisa (5PM) Lapworth MC</cp:lastModifiedBy>
  <cp:revision>2</cp:revision>
  <cp:lastPrinted>2025-05-27T13:13:00Z</cp:lastPrinted>
  <dcterms:created xsi:type="dcterms:W3CDTF">2026-06-17T14:42:00Z</dcterms:created>
  <dcterms:modified xsi:type="dcterms:W3CDTF">2026-06-17T14:42:00Z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0x0101009D06D259D6EA7541BF048B1073776983</vt:lpwstr>
  </property>
</Properties>
</file>